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9370" w:h="3408" w:hRule="exact" w:wrap="around" w:vAnchor="page" w:hAnchor="page" w:x="1273" w:y="2133"/>
        <w:widowControl w:val="0"/>
        <w:keepNext w:val="0"/>
        <w:keepLines w:val="0"/>
        <w:shd w:val="clear" w:color="auto" w:fill="auto"/>
        <w:bidi w:val="0"/>
        <w:spacing w:before="0" w:after="0"/>
        <w:ind w:left="0" w:right="20" w:firstLine="0"/>
      </w:pPr>
      <w:bookmarkStart w:id="0" w:name="bookmark0"/>
      <w:r>
        <w:rPr>
          <w:lang w:val="ru-RU" w:eastAsia="ru-RU" w:bidi="ru-RU"/>
          <w:w w:val="100"/>
          <w:color w:val="000000"/>
          <w:position w:val="0"/>
        </w:rPr>
        <w:t>РОССИЙСКАЯ ФЕДЕРАЦИЯ РОСТОВСКАЯ ОБЛАСТЬ ОКТЯБРЬСКИЙ РАЙОН</w:t>
      </w:r>
      <w:bookmarkEnd w:id="0"/>
    </w:p>
    <w:p>
      <w:pPr>
        <w:pStyle w:val="Style5"/>
        <w:framePr w:w="9370" w:h="3408" w:hRule="exact" w:wrap="around" w:vAnchor="page" w:hAnchor="page" w:x="1273" w:y="2133"/>
        <w:widowControl w:val="0"/>
        <w:keepNext w:val="0"/>
        <w:keepLines w:val="0"/>
        <w:shd w:val="clear" w:color="auto" w:fill="auto"/>
        <w:bidi w:val="0"/>
        <w:spacing w:before="0" w:after="0"/>
        <w:ind w:left="0" w:right="20" w:firstLine="0"/>
      </w:pPr>
      <w:r>
        <w:rPr>
          <w:lang w:val="ru-RU" w:eastAsia="ru-RU" w:bidi="ru-RU"/>
          <w:w w:val="100"/>
          <w:color w:val="000000"/>
          <w:position w:val="0"/>
        </w:rPr>
        <w:t>МУНИЦИПАЛЬНОЕ ОБРАЗОВАНИЕ «КРАСЮКОВСКОЕ СЕЛЬСКОЕ ПОСЕЛЕНИЕ»</w:t>
      </w:r>
    </w:p>
    <w:p>
      <w:pPr>
        <w:pStyle w:val="Style5"/>
        <w:framePr w:w="9370" w:h="3408" w:hRule="exact" w:wrap="around" w:vAnchor="page" w:hAnchor="page" w:x="1273" w:y="2133"/>
        <w:widowControl w:val="0"/>
        <w:keepNext w:val="0"/>
        <w:keepLines w:val="0"/>
        <w:shd w:val="clear" w:color="auto" w:fill="auto"/>
        <w:bidi w:val="0"/>
        <w:spacing w:before="0" w:after="492"/>
        <w:ind w:left="0" w:right="20" w:firstLine="0"/>
      </w:pPr>
      <w:r>
        <w:rPr>
          <w:lang w:val="ru-RU" w:eastAsia="ru-RU" w:bidi="ru-RU"/>
          <w:w w:val="100"/>
          <w:color w:val="000000"/>
          <w:position w:val="0"/>
        </w:rPr>
        <w:t>АДМИНИСТРАЦИЯ КРАСЮКОВСКОГО СЕЛЬСКОГО ПОСЕЛЕНИЯ</w:t>
      </w:r>
    </w:p>
    <w:p>
      <w:pPr>
        <w:pStyle w:val="Style7"/>
        <w:framePr w:w="9370" w:h="3408" w:hRule="exact" w:wrap="around" w:vAnchor="page" w:hAnchor="page" w:x="1273" w:y="2133"/>
        <w:widowControl w:val="0"/>
        <w:keepNext w:val="0"/>
        <w:keepLines w:val="0"/>
        <w:shd w:val="clear" w:color="auto" w:fill="auto"/>
        <w:bidi w:val="0"/>
        <w:spacing w:before="0" w:after="272" w:line="440" w:lineRule="exact"/>
        <w:ind w:left="0" w:right="20" w:firstLine="0"/>
      </w:pPr>
      <w:bookmarkStart w:id="1" w:name="bookmark1"/>
      <w:r>
        <w:rPr>
          <w:lang w:val="ru-RU" w:eastAsia="ru-RU" w:bidi="ru-RU"/>
          <w:w w:val="100"/>
          <w:color w:val="000000"/>
          <w:position w:val="0"/>
        </w:rPr>
        <w:t>ПОСТАНОВЛЕНИЕ</w:t>
      </w:r>
      <w:bookmarkEnd w:id="1"/>
    </w:p>
    <w:p>
      <w:pPr>
        <w:pStyle w:val="Style9"/>
        <w:framePr w:w="9370" w:h="3408" w:hRule="exact" w:wrap="around" w:vAnchor="page" w:hAnchor="page" w:x="1273" w:y="2133"/>
        <w:tabs>
          <w:tab w:leader="none" w:pos="4619" w:val="right"/>
          <w:tab w:leader="none" w:pos="4979" w:val="center"/>
          <w:tab w:leader="none" w:pos="7379" w:val="right"/>
          <w:tab w:leader="none" w:pos="7524" w:val="left"/>
        </w:tabs>
        <w:widowControl w:val="0"/>
        <w:keepNext w:val="0"/>
        <w:keepLines w:val="0"/>
        <w:shd w:val="clear" w:color="auto" w:fill="auto"/>
        <w:bidi w:val="0"/>
        <w:spacing w:before="0" w:after="0" w:line="240" w:lineRule="exact"/>
        <w:ind w:left="40" w:right="0" w:firstLine="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26.11.2012 г.</w:t>
        <w:tab/>
        <w:t>№</w:t>
        <w:tab/>
        <w:t>267</w:t>
        <w:tab/>
        <w:t>сл.</w:t>
        <w:tab/>
        <w:t>Красюковская</w:t>
      </w:r>
    </w:p>
    <w:p>
      <w:pPr>
        <w:pStyle w:val="Style9"/>
        <w:framePr w:w="9370" w:h="7986" w:hRule="exact" w:wrap="around" w:vAnchor="page" w:hAnchor="page" w:x="1273" w:y="6223"/>
        <w:widowControl w:val="0"/>
        <w:keepNext w:val="0"/>
        <w:keepLines w:val="0"/>
        <w:shd w:val="clear" w:color="auto" w:fill="auto"/>
        <w:bidi w:val="0"/>
        <w:spacing w:before="0" w:after="476" w:line="317" w:lineRule="exact"/>
        <w:ind w:left="40" w:right="4220" w:firstLine="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«О порядке оценки эффективности налоговых льгот, установленных решениями Собрания депутатов Красюковского сельского поселения по местным налогам»</w:t>
      </w:r>
    </w:p>
    <w:p>
      <w:pPr>
        <w:pStyle w:val="Style11"/>
        <w:framePr w:w="9370" w:h="7986" w:hRule="exact" w:wrap="around" w:vAnchor="page" w:hAnchor="page" w:x="1273" w:y="6223"/>
        <w:widowControl w:val="0"/>
        <w:keepNext w:val="0"/>
        <w:keepLines w:val="0"/>
        <w:shd w:val="clear" w:color="auto" w:fill="auto"/>
        <w:bidi w:val="0"/>
        <w:spacing w:before="0" w:after="0"/>
        <w:ind w:left="40" w:right="20" w:firstLine="56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Руководствуясь Федеральным законом № 131-ФЗ от 06.10.2003 года «Об общих принципах организации местного самоуправления в Российской Федерации», Налоговым кодексом Российской Федерации, с постановлением Правительства Ростовской области от 30.08.2012 г. № 826 «О порядке оценки эффективности налоговых льгот, установленных законодательством Ростовской области», в целях повышения результативности практической реализации налоговой политики, эффективности предоставления режимов льготного налогообложения в Красюковском сельском поселении постановляю:</w:t>
      </w:r>
    </w:p>
    <w:p>
      <w:pPr>
        <w:pStyle w:val="Style11"/>
        <w:numPr>
          <w:ilvl w:val="0"/>
          <w:numId w:val="1"/>
        </w:numPr>
        <w:framePr w:w="9370" w:h="7986" w:hRule="exact" w:wrap="around" w:vAnchor="page" w:hAnchor="page" w:x="1273" w:y="6223"/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40" w:right="20" w:firstLine="56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Утвердить Порядок оценки эффективности налоговых льгот, установленных решениями Собрания депутатов Красюковского сельского поселения по местным налогам, согласно приложению.</w:t>
      </w:r>
    </w:p>
    <w:p>
      <w:pPr>
        <w:pStyle w:val="Style11"/>
        <w:numPr>
          <w:ilvl w:val="0"/>
          <w:numId w:val="1"/>
        </w:numPr>
        <w:framePr w:w="9370" w:h="7986" w:hRule="exact" w:wrap="around" w:vAnchor="page" w:hAnchor="page" w:x="1273" w:y="6223"/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40" w:right="20" w:firstLine="56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Признать утратившим силу Постановление Главы Красюковского сельского поселения от 27.12.2010 г. № 85 "О порядке эффективности предоставляемых и планируемых к представлению налоговых льгот по местным налогам".</w:t>
      </w:r>
    </w:p>
    <w:p>
      <w:pPr>
        <w:pStyle w:val="Style11"/>
        <w:numPr>
          <w:ilvl w:val="0"/>
          <w:numId w:val="1"/>
        </w:numPr>
        <w:framePr w:w="9370" w:h="7986" w:hRule="exact" w:wrap="around" w:vAnchor="page" w:hAnchor="page" w:x="1273" w:y="6223"/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40" w:right="20" w:firstLine="56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Контроль за выполнением постановления возложить на начальника службы экономики и финансов Е.Н. Кисель.</w:t>
      </w:r>
    </w:p>
    <w:p>
      <w:pPr>
        <w:pStyle w:val="Style9"/>
        <w:framePr w:w="9370" w:h="715" w:hRule="exact" w:wrap="around" w:vAnchor="page" w:hAnchor="page" w:x="1273" w:y="14817"/>
        <w:widowControl w:val="0"/>
        <w:keepNext w:val="0"/>
        <w:keepLines w:val="0"/>
        <w:shd w:val="clear" w:color="auto" w:fill="auto"/>
        <w:bidi w:val="0"/>
        <w:jc w:val="left"/>
        <w:spacing w:before="0" w:after="0" w:line="326" w:lineRule="exact"/>
        <w:ind w:left="40" w:right="4780" w:firstLine="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Глава Красюковского</w:t>
        <w:br/>
        <w:t>сельского поселения</w:t>
      </w:r>
    </w:p>
    <w:p>
      <w:pPr>
        <w:pStyle w:val="Style9"/>
        <w:framePr w:wrap="around" w:vAnchor="page" w:hAnchor="page" w:x="8746" w:y="15203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100" w:right="0" w:firstLine="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М.Н. Обухов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6" w:h="16838"/>
          <w:pgMar w:top="0" w:left="0" w:right="0" w:bottom="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1"/>
        <w:framePr w:w="9384" w:h="2253" w:hRule="exact" w:wrap="around" w:vAnchor="page" w:hAnchor="page" w:x="1265" w:y="457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5160" w:right="120" w:firstLine="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Приложение к Постановлению от 26.11.2012 г. № 267 «О порядке эффективности налоговых льгот, установленных решениями Собрания депутатов Красюковского сельского поселения по местным налогам»</w:t>
      </w:r>
    </w:p>
    <w:p>
      <w:pPr>
        <w:pStyle w:val="Style11"/>
        <w:framePr w:w="9384" w:h="13020" w:hRule="exact" w:wrap="around" w:vAnchor="page" w:hAnchor="page" w:x="1265" w:y="3363"/>
        <w:widowControl w:val="0"/>
        <w:keepNext w:val="0"/>
        <w:keepLines w:val="0"/>
        <w:shd w:val="clear" w:color="auto" w:fill="auto"/>
        <w:bidi w:val="0"/>
        <w:jc w:val="center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ПОРЯДОК</w:t>
      </w:r>
    </w:p>
    <w:p>
      <w:pPr>
        <w:pStyle w:val="Style11"/>
        <w:framePr w:w="9384" w:h="13020" w:hRule="exact" w:wrap="around" w:vAnchor="page" w:hAnchor="page" w:x="1265" w:y="3363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740" w:right="640" w:firstLine="66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ОЦЕНКИ ЭФФЕКТИВНОСТИ НАЛОГОВЫХ ЛЬГОТ, УСТАНОВЛЕННЫХ РЕШЕНИЯМИ СОБРАНИЯ ДЕПУТАТОВ КРАСЮКОВСКОГО СЕЛЬСКОГО ПОСЕЛЕНИЯ ПО МЕСТНЫМ</w:t>
      </w:r>
    </w:p>
    <w:p>
      <w:pPr>
        <w:pStyle w:val="Style11"/>
        <w:framePr w:w="9384" w:h="13020" w:hRule="exact" w:wrap="around" w:vAnchor="page" w:hAnchor="page" w:x="1265" w:y="3363"/>
        <w:widowControl w:val="0"/>
        <w:keepNext w:val="0"/>
        <w:keepLines w:val="0"/>
        <w:shd w:val="clear" w:color="auto" w:fill="auto"/>
        <w:bidi w:val="0"/>
        <w:jc w:val="center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НАЛОГАМ</w:t>
      </w:r>
    </w:p>
    <w:p>
      <w:pPr>
        <w:pStyle w:val="Style11"/>
        <w:numPr>
          <w:ilvl w:val="0"/>
          <w:numId w:val="3"/>
        </w:numPr>
        <w:framePr w:w="9384" w:h="13020" w:hRule="exact" w:wrap="around" w:vAnchor="page" w:hAnchor="page" w:x="1265" w:y="3363"/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8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Оценка эффективности налоговых льгот, установленных решениями Собрания Депутатов Красюковского сельского поселения по местным налогам (далее - решения Собрания депутатов), проводится по налогам, являющимся налоговыми доходами бюджета Красюковского сельского поселения.</w:t>
      </w:r>
    </w:p>
    <w:p>
      <w:pPr>
        <w:pStyle w:val="Style11"/>
        <w:numPr>
          <w:ilvl w:val="0"/>
          <w:numId w:val="3"/>
        </w:numPr>
        <w:framePr w:w="9384" w:h="13020" w:hRule="exact" w:wrap="around" w:vAnchor="page" w:hAnchor="page" w:x="1265" w:y="3363"/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8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Ежегодная оценка эффективности налоговых льгот, установленных решениями Собрания депутатов Красюковского сельского поселения, проводится Администрацией Красюковского сельского поселения в соответствии с настоящим Порядком.</w:t>
      </w:r>
    </w:p>
    <w:p>
      <w:pPr>
        <w:pStyle w:val="Style11"/>
        <w:numPr>
          <w:ilvl w:val="0"/>
          <w:numId w:val="3"/>
        </w:numPr>
        <w:framePr w:w="9384" w:h="13020" w:hRule="exact" w:wrap="around" w:vAnchor="page" w:hAnchor="page" w:x="1265" w:y="3363"/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8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Оценка эффективности налоговых льгот не производится в отношении налоговых льгот, предоставленных:</w:t>
      </w:r>
    </w:p>
    <w:p>
      <w:pPr>
        <w:pStyle w:val="Style11"/>
        <w:numPr>
          <w:ilvl w:val="0"/>
          <w:numId w:val="5"/>
        </w:numPr>
        <w:framePr w:w="9384" w:h="13020" w:hRule="exact" w:wrap="around" w:vAnchor="page" w:hAnchor="page" w:x="1265" w:y="3363"/>
        <w:widowControl w:val="0"/>
        <w:keepNext w:val="0"/>
        <w:keepLines w:val="0"/>
        <w:shd w:val="clear" w:color="auto" w:fill="auto"/>
        <w:bidi w:val="0"/>
        <w:spacing w:before="0" w:after="0"/>
        <w:ind w:left="740" w:right="20" w:firstLine="40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налогоплательщикам из числа социально не защищенных категорий граждан;</w:t>
      </w:r>
    </w:p>
    <w:p>
      <w:pPr>
        <w:pStyle w:val="Style11"/>
        <w:numPr>
          <w:ilvl w:val="0"/>
          <w:numId w:val="5"/>
        </w:numPr>
        <w:framePr w:w="9384" w:h="13020" w:hRule="exact" w:wrap="around" w:vAnchor="page" w:hAnchor="page" w:x="1265" w:y="3363"/>
        <w:widowControl w:val="0"/>
        <w:keepNext w:val="0"/>
        <w:keepLines w:val="0"/>
        <w:shd w:val="clear" w:color="auto" w:fill="auto"/>
        <w:bidi w:val="0"/>
        <w:spacing w:before="0" w:after="0"/>
        <w:ind w:left="740" w:right="20" w:firstLine="40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бюджетным и казенным учреждениям, финансовое обеспечение деятельности которых осуществляется за счет средств бюджета поселения.</w:t>
      </w:r>
    </w:p>
    <w:p>
      <w:pPr>
        <w:pStyle w:val="Style11"/>
        <w:numPr>
          <w:ilvl w:val="0"/>
          <w:numId w:val="3"/>
        </w:numPr>
        <w:framePr w:w="9384" w:h="13020" w:hRule="exact" w:wrap="around" w:vAnchor="page" w:hAnchor="page" w:x="1265" w:y="3363"/>
        <w:widowControl w:val="0"/>
        <w:keepNext w:val="0"/>
        <w:keepLines w:val="0"/>
        <w:shd w:val="clear" w:color="auto" w:fill="auto"/>
        <w:bidi w:val="0"/>
        <w:spacing w:before="0" w:after="0"/>
        <w:ind w:left="20" w:right="0" w:firstLine="58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Оценка эффективности налоговых льгот проводится в целях:</w:t>
      </w:r>
    </w:p>
    <w:p>
      <w:pPr>
        <w:pStyle w:val="Style11"/>
        <w:numPr>
          <w:ilvl w:val="0"/>
          <w:numId w:val="5"/>
        </w:numPr>
        <w:framePr w:w="9384" w:h="13020" w:hRule="exact" w:wrap="around" w:vAnchor="page" w:hAnchor="page" w:x="1265" w:y="3363"/>
        <w:widowControl w:val="0"/>
        <w:keepNext w:val="0"/>
        <w:keepLines w:val="0"/>
        <w:shd w:val="clear" w:color="auto" w:fill="auto"/>
        <w:bidi w:val="0"/>
        <w:spacing w:before="0" w:after="0" w:line="240" w:lineRule="exact"/>
        <w:ind w:left="740" w:right="0" w:firstLine="40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мониторинга результатов действия налоговых льгот;</w:t>
      </w:r>
    </w:p>
    <w:p>
      <w:pPr>
        <w:pStyle w:val="Style11"/>
        <w:numPr>
          <w:ilvl w:val="0"/>
          <w:numId w:val="5"/>
        </w:numPr>
        <w:framePr w:w="9384" w:h="13020" w:hRule="exact" w:wrap="around" w:vAnchor="page" w:hAnchor="page" w:x="1265" w:y="3363"/>
        <w:widowControl w:val="0"/>
        <w:keepNext w:val="0"/>
        <w:keepLines w:val="0"/>
        <w:shd w:val="clear" w:color="auto" w:fill="auto"/>
        <w:bidi w:val="0"/>
        <w:spacing w:before="0" w:after="0"/>
        <w:ind w:left="740" w:right="20" w:firstLine="40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подготовки предложений о прекращении действия налоговых льгот или продлении сроков их действия.</w:t>
      </w:r>
    </w:p>
    <w:p>
      <w:pPr>
        <w:pStyle w:val="Style11"/>
        <w:framePr w:w="9384" w:h="13020" w:hRule="exact" w:wrap="around" w:vAnchor="page" w:hAnchor="page" w:x="1265" w:y="3363"/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8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Проведение оценки эффективности налоговых льгот должно способствовать оптимизации перечня налоговых льгот и обеспечению оптимального выбора объектов для предоставления государственной поддержки в виде налоговых льгот.</w:t>
      </w:r>
    </w:p>
    <w:p>
      <w:pPr>
        <w:pStyle w:val="Style11"/>
        <w:numPr>
          <w:ilvl w:val="0"/>
          <w:numId w:val="3"/>
        </w:numPr>
        <w:framePr w:w="9384" w:h="13020" w:hRule="exact" w:wrap="around" w:vAnchor="page" w:hAnchor="page" w:x="1265" w:y="3363"/>
        <w:tabs>
          <w:tab w:leader="none" w:pos="3466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8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Для оценки эффективности налоговых льгот используются следующие критерии:</w:t>
        <w:tab/>
        <w:t>социальная эффективность, экономическая эффективность.</w:t>
      </w:r>
    </w:p>
    <w:p>
      <w:pPr>
        <w:pStyle w:val="Style11"/>
        <w:numPr>
          <w:ilvl w:val="1"/>
          <w:numId w:val="3"/>
        </w:numPr>
        <w:framePr w:w="9384" w:h="13020" w:hRule="exact" w:wrap="around" w:vAnchor="page" w:hAnchor="page" w:x="1265" w:y="3363"/>
        <w:tabs>
          <w:tab w:leader="none" w:pos="1120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8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>
      <w:pPr>
        <w:pStyle w:val="Style11"/>
        <w:framePr w:w="9384" w:h="13020" w:hRule="exact" w:wrap="around" w:vAnchor="page" w:hAnchor="page" w:x="1265" w:y="3363"/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8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Социальная эффективность установленных налоговых льгот признается положительной, если предоставление налоговых льгот обеспечило достижение одной из следующих целей:</w:t>
      </w:r>
    </w:p>
    <w:p>
      <w:pPr>
        <w:pStyle w:val="Style11"/>
        <w:numPr>
          <w:ilvl w:val="0"/>
          <w:numId w:val="5"/>
        </w:numPr>
        <w:framePr w:w="9384" w:h="13020" w:hRule="exact" w:wrap="around" w:vAnchor="page" w:hAnchor="page" w:x="1265" w:y="3363"/>
        <w:widowControl w:val="0"/>
        <w:keepNext w:val="0"/>
        <w:keepLines w:val="0"/>
        <w:shd w:val="clear" w:color="auto" w:fill="auto"/>
        <w:bidi w:val="0"/>
        <w:spacing w:before="0" w:after="0" w:line="240" w:lineRule="exact"/>
        <w:ind w:left="740" w:right="0" w:firstLine="40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рост заработной платы;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6" w:h="16838"/>
          <w:pgMar w:top="0" w:left="0" w:right="0" w:bottom="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1"/>
        <w:numPr>
          <w:ilvl w:val="0"/>
          <w:numId w:val="5"/>
        </w:numPr>
        <w:framePr w:w="9389" w:h="10008" w:hRule="exact" w:wrap="around" w:vAnchor="page" w:hAnchor="page" w:x="1263" w:y="457"/>
        <w:widowControl w:val="0"/>
        <w:keepNext w:val="0"/>
        <w:keepLines w:val="0"/>
        <w:shd w:val="clear" w:color="auto" w:fill="auto"/>
        <w:bidi w:val="0"/>
        <w:jc w:val="left"/>
        <w:spacing w:before="0" w:after="77" w:line="240" w:lineRule="exact"/>
        <w:ind w:left="760" w:right="0" w:firstLine="42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создание новых рабочих мест;</w:t>
      </w:r>
    </w:p>
    <w:p>
      <w:pPr>
        <w:pStyle w:val="Style11"/>
        <w:numPr>
          <w:ilvl w:val="0"/>
          <w:numId w:val="5"/>
        </w:numPr>
        <w:framePr w:w="9389" w:h="10008" w:hRule="exact" w:wrap="around" w:vAnchor="page" w:hAnchor="page" w:x="1263" w:y="457"/>
        <w:widowControl w:val="0"/>
        <w:keepNext w:val="0"/>
        <w:keepLines w:val="0"/>
        <w:shd w:val="clear" w:color="auto" w:fill="auto"/>
        <w:bidi w:val="0"/>
        <w:jc w:val="left"/>
        <w:spacing w:before="0" w:after="12" w:line="240" w:lineRule="exact"/>
        <w:ind w:left="760" w:right="0" w:firstLine="42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повышение квалификации (обучение) работников;</w:t>
      </w:r>
    </w:p>
    <w:p>
      <w:pPr>
        <w:pStyle w:val="Style11"/>
        <w:numPr>
          <w:ilvl w:val="0"/>
          <w:numId w:val="5"/>
        </w:numPr>
        <w:framePr w:w="9389" w:h="10008" w:hRule="exact" w:wrap="around" w:vAnchor="page" w:hAnchor="page" w:x="1263" w:y="457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760" w:right="20" w:firstLine="42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социальная поддержка работников и членов их семей, неработающих пенсионеров.</w:t>
      </w:r>
    </w:p>
    <w:p>
      <w:pPr>
        <w:pStyle w:val="Style11"/>
        <w:framePr w:w="9389" w:h="10008" w:hRule="exact" w:wrap="around" w:vAnchor="page" w:hAnchor="page" w:x="1263" w:y="457"/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8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Если предоставление налоговых льгот не привело к достижению ни одной из вышеперечисленных целей, социальная эффективность установленных налоговых льгот признается отрицательной.</w:t>
      </w:r>
    </w:p>
    <w:p>
      <w:pPr>
        <w:pStyle w:val="Style11"/>
        <w:numPr>
          <w:ilvl w:val="1"/>
          <w:numId w:val="3"/>
        </w:numPr>
        <w:framePr w:w="9389" w:h="10008" w:hRule="exact" w:wrap="around" w:vAnchor="page" w:hAnchor="page" w:x="1263" w:y="457"/>
        <w:tabs>
          <w:tab w:leader="none" w:pos="2756" w:val="left"/>
          <w:tab w:leader="none" w:pos="5098" w:val="left"/>
          <w:tab w:leader="none" w:pos="9366" w:val="right"/>
          <w:tab w:leader="none" w:pos="1215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8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Экономическая эффективность - оценка динамики финансово- экономических</w:t>
        <w:tab/>
        <w:t>показателей</w:t>
        <w:tab/>
        <w:t>хозяйственной</w:t>
        <w:tab/>
        <w:t>деятельности</w:t>
      </w:r>
    </w:p>
    <w:p>
      <w:pPr>
        <w:pStyle w:val="Style11"/>
        <w:framePr w:w="9389" w:h="10008" w:hRule="exact" w:wrap="around" w:vAnchor="page" w:hAnchor="page" w:x="1263" w:y="457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20" w:right="0" w:firstLine="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налогоплательщиков, которым предоставлены налоговые льготы.</w:t>
      </w:r>
    </w:p>
    <w:p>
      <w:pPr>
        <w:pStyle w:val="Style11"/>
        <w:framePr w:w="9389" w:h="10008" w:hRule="exact" w:wrap="around" w:vAnchor="page" w:hAnchor="page" w:x="1263" w:y="457"/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8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Экономическая эффективность установленных налоговых льгот признается положительной, если в результате предоставления налоговых льгот обеспечена положительная динамика финансово-экономических показателей деятельности налогоплательщиков (выручка, финансовый результат, рентабельность).</w:t>
      </w:r>
    </w:p>
    <w:p>
      <w:pPr>
        <w:pStyle w:val="Style11"/>
        <w:framePr w:w="9389" w:h="10008" w:hRule="exact" w:wrap="around" w:vAnchor="page" w:hAnchor="page" w:x="1263" w:y="457"/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8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В случае если предоставление налоговых льгот не привело к улучшению вышеназванных финансово-экономических показателей деятельности категорий налогоплательщиков, имеющих возможность использовать льготу, экономическая эффективность установленных налоговых льгот признается отрицательной.</w:t>
      </w:r>
    </w:p>
    <w:p>
      <w:pPr>
        <w:pStyle w:val="Style11"/>
        <w:numPr>
          <w:ilvl w:val="0"/>
          <w:numId w:val="3"/>
        </w:numPr>
        <w:framePr w:w="9389" w:h="10008" w:hRule="exact" w:wrap="around" w:vAnchor="page" w:hAnchor="page" w:x="1263" w:y="457"/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8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Оценка эффективности налоговых льгот основывается на информации территориальных органов Федеральной службы государственной статистики, территориальных органов Федеральной налоговой службы, Администрации Красюковского сельского поселения.</w:t>
      </w:r>
    </w:p>
    <w:p>
      <w:pPr>
        <w:pStyle w:val="Style11"/>
        <w:numPr>
          <w:ilvl w:val="0"/>
          <w:numId w:val="3"/>
        </w:numPr>
        <w:framePr w:w="9389" w:h="10008" w:hRule="exact" w:wrap="around" w:vAnchor="page" w:hAnchor="page" w:x="1263" w:y="457"/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8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Информация о результатах проведения оценки эффективности налоговых льгот ежегодно рассматривается на заседании Администрации Красюковского сельского поселения в порядке, установленном Регламентом Администрации Красюковского сельского поселения.</w:t>
      </w:r>
    </w:p>
    <w:p>
      <w:pPr>
        <w:pStyle w:val="Style11"/>
        <w:numPr>
          <w:ilvl w:val="0"/>
          <w:numId w:val="3"/>
        </w:numPr>
        <w:framePr w:w="9389" w:h="10008" w:hRule="exact" w:wrap="around" w:vAnchor="page" w:hAnchor="page" w:x="1263" w:y="457"/>
        <w:widowControl w:val="0"/>
        <w:keepNext w:val="0"/>
        <w:keepLines w:val="0"/>
        <w:shd w:val="clear" w:color="auto" w:fill="auto"/>
        <w:bidi w:val="0"/>
        <w:spacing w:before="0" w:after="0"/>
        <w:ind w:left="20" w:right="20" w:firstLine="58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 xml:space="preserve"> Результаты оценки эффективности налоговых льгот подлежат размещению на официальном сайте Красюковского сельского поселения в информационно-телекоммуникационной сети "Интернет".</w:t>
      </w:r>
    </w:p>
    <w:p>
      <w:pPr>
        <w:pStyle w:val="Style11"/>
        <w:framePr w:w="9389" w:h="701" w:hRule="exact" w:wrap="around" w:vAnchor="page" w:hAnchor="page" w:x="1263" w:y="10880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20" w:right="1500" w:firstLine="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Специалист II категории</w:t>
        <w:br/>
        <w:t>по делопроизводству и архивной работе</w:t>
      </w:r>
    </w:p>
    <w:p>
      <w:pPr>
        <w:pStyle w:val="Style11"/>
        <w:framePr w:wrap="around" w:vAnchor="page" w:hAnchor="page" w:x="8583" w:y="11252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100" w:right="0" w:firstLine="0"/>
      </w:pPr>
      <w:r>
        <w:rPr>
          <w:lang w:val="ru-RU" w:eastAsia="ru-RU" w:bidi="ru-RU"/>
          <w:sz w:val="24"/>
          <w:szCs w:val="24"/>
          <w:w w:val="100"/>
          <w:color w:val="000000"/>
          <w:position w:val="0"/>
        </w:rPr>
        <w:t>Л.Н. Швиденко</w: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6" w:h="16838"/>
      <w:pgMar w:top="0" w:left="0" w:right="0" w:bottom="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3"/>
        <w:color w:val="000000"/>
        <w:position w:val="0"/>
      </w:rPr>
    </w:lvl>
  </w:abstractNum>
  <w:abstractNum w:abstractNumId="2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3"/>
        <w:color w:val="000000"/>
        <w:position w:val="0"/>
      </w:rPr>
    </w:lvl>
    <w:lvl w:ilvl="1">
      <w:start w:val="1"/>
      <w:numFmt w:val="decimal"/>
      <w:lvlText w:val="%1.%2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3"/>
        <w:color w:val="000000"/>
        <w:position w:val="0"/>
      </w:rPr>
    </w:lvl>
  </w:abstractNum>
  <w:abstractNum w:abstractNumId="4">
    <w:multiLevelType w:val="multilevel"/>
    <w:lvl w:ilvl="0">
      <w:start w:val="1"/>
      <w:numFmt w:val="bullet"/>
      <w:lvlText w:val="-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3"/>
        <w:color w:val="000000"/>
        <w:position w:val="0"/>
      </w:rPr>
    </w:lvl>
  </w:abstractNum>
  <w:num w:numId="1">
    <w:abstractNumId w:val="0"/>
  </w:num>
  <w:num w:numId="3">
    <w:abstractNumId w:val="2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footnotePr>
      <w:pos w:val="pageBottom"/>
      <w:numFmt w:val="decimal"/>
      <w:numRestart w:val="continuous"/>
    </w:footnotePr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Заголовок №2_"/>
    <w:basedOn w:val="DefaultParagraphFont"/>
    <w:link w:val="Style3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  <w:spacing w:val="2"/>
    </w:rPr>
  </w:style>
  <w:style w:type="character" w:customStyle="1" w:styleId="CharStyle6">
    <w:name w:val="Основной текст (2)_"/>
    <w:basedOn w:val="DefaultParagraphFont"/>
    <w:link w:val="Style5"/>
    <w:rPr>
      <w:b/>
      <w:bCs/>
      <w:i w:val="0"/>
      <w:iCs w:val="0"/>
      <w:u w:val="none"/>
      <w:strike w:val="0"/>
      <w:smallCaps w:val="0"/>
      <w:sz w:val="16"/>
      <w:szCs w:val="16"/>
      <w:rFonts w:ascii="Times New Roman" w:eastAsia="Times New Roman" w:hAnsi="Times New Roman" w:cs="Times New Roman"/>
      <w:spacing w:val="3"/>
    </w:rPr>
  </w:style>
  <w:style w:type="character" w:customStyle="1" w:styleId="CharStyle8">
    <w:name w:val="Заголовок №1_"/>
    <w:basedOn w:val="DefaultParagraphFont"/>
    <w:link w:val="Style7"/>
    <w:rPr>
      <w:b/>
      <w:bCs/>
      <w:i w:val="0"/>
      <w:iCs w:val="0"/>
      <w:u w:val="none"/>
      <w:strike w:val="0"/>
      <w:smallCaps w:val="0"/>
      <w:sz w:val="44"/>
      <w:szCs w:val="44"/>
      <w:rFonts w:ascii="Times New Roman" w:eastAsia="Times New Roman" w:hAnsi="Times New Roman" w:cs="Times New Roman"/>
      <w:spacing w:val="1"/>
    </w:rPr>
  </w:style>
  <w:style w:type="character" w:customStyle="1" w:styleId="CharStyle10">
    <w:name w:val="Основной текст (3)_"/>
    <w:basedOn w:val="DefaultParagraphFont"/>
    <w:link w:val="Style9"/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  <w:spacing w:val="6"/>
    </w:rPr>
  </w:style>
  <w:style w:type="character" w:customStyle="1" w:styleId="CharStyle12">
    <w:name w:val="Основной текст_"/>
    <w:basedOn w:val="DefaultParagraphFont"/>
    <w:link w:val="Style11"/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  <w:spacing w:val="3"/>
    </w:rPr>
  </w:style>
  <w:style w:type="paragraph" w:customStyle="1" w:styleId="Style3">
    <w:name w:val="Заголовок №2"/>
    <w:basedOn w:val="Normal"/>
    <w:link w:val="CharStyle4"/>
    <w:pPr>
      <w:widowControl w:val="0"/>
      <w:shd w:val="clear" w:color="auto" w:fill="FFFFFF"/>
      <w:jc w:val="center"/>
      <w:outlineLvl w:val="1"/>
      <w:spacing w:line="365" w:lineRule="exact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  <w:spacing w:val="2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jc w:val="center"/>
      <w:spacing w:line="230" w:lineRule="exact"/>
    </w:pPr>
    <w:rPr>
      <w:b/>
      <w:bCs/>
      <w:i w:val="0"/>
      <w:iCs w:val="0"/>
      <w:u w:val="none"/>
      <w:strike w:val="0"/>
      <w:smallCaps w:val="0"/>
      <w:sz w:val="16"/>
      <w:szCs w:val="16"/>
      <w:rFonts w:ascii="Times New Roman" w:eastAsia="Times New Roman" w:hAnsi="Times New Roman" w:cs="Times New Roman"/>
      <w:spacing w:val="3"/>
    </w:rPr>
  </w:style>
  <w:style w:type="paragraph" w:customStyle="1" w:styleId="Style7">
    <w:name w:val="Заголовок №1"/>
    <w:basedOn w:val="Normal"/>
    <w:link w:val="CharStyle8"/>
    <w:pPr>
      <w:widowControl w:val="0"/>
      <w:shd w:val="clear" w:color="auto" w:fill="FFFFFF"/>
      <w:jc w:val="center"/>
      <w:outlineLvl w:val="0"/>
      <w:spacing w:before="660" w:after="360" w:line="0" w:lineRule="exact"/>
    </w:pPr>
    <w:rPr>
      <w:b/>
      <w:bCs/>
      <w:i w:val="0"/>
      <w:iCs w:val="0"/>
      <w:u w:val="none"/>
      <w:strike w:val="0"/>
      <w:smallCaps w:val="0"/>
      <w:sz w:val="44"/>
      <w:szCs w:val="44"/>
      <w:rFonts w:ascii="Times New Roman" w:eastAsia="Times New Roman" w:hAnsi="Times New Roman" w:cs="Times New Roman"/>
      <w:spacing w:val="1"/>
    </w:rPr>
  </w:style>
  <w:style w:type="paragraph" w:customStyle="1" w:styleId="Style9">
    <w:name w:val="Основной текст (3)"/>
    <w:basedOn w:val="Normal"/>
    <w:link w:val="CharStyle10"/>
    <w:pPr>
      <w:widowControl w:val="0"/>
      <w:shd w:val="clear" w:color="auto" w:fill="FFFFFF"/>
      <w:jc w:val="both"/>
      <w:spacing w:before="360" w:after="840" w:line="0" w:lineRule="exact"/>
    </w:pPr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  <w:spacing w:val="6"/>
    </w:rPr>
  </w:style>
  <w:style w:type="paragraph" w:customStyle="1" w:styleId="Style11">
    <w:name w:val="Основной текст"/>
    <w:basedOn w:val="Normal"/>
    <w:link w:val="CharStyle12"/>
    <w:pPr>
      <w:widowControl w:val="0"/>
      <w:shd w:val="clear" w:color="auto" w:fill="FFFFFF"/>
      <w:jc w:val="both"/>
      <w:spacing w:before="480" w:line="322" w:lineRule="exact"/>
    </w:pPr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  <w:spacing w:val="3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